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61"/>
      </w:tblGrid>
      <w:tr w:rsidR="002D0B73" w:rsidRPr="002D0B73" w:rsidTr="002D0B73">
        <w:tc>
          <w:tcPr>
            <w:tcW w:w="9755" w:type="dxa"/>
            <w:shd w:val="clear" w:color="auto" w:fill="FFFFFF"/>
            <w:hideMark/>
          </w:tcPr>
          <w:tbl>
            <w:tblPr>
              <w:tblW w:w="9776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776"/>
            </w:tblGrid>
            <w:tr w:rsidR="002D0B73" w:rsidRPr="002D0B73">
              <w:trPr>
                <w:jc w:val="center"/>
              </w:trPr>
              <w:tc>
                <w:tcPr>
                  <w:tcW w:w="0" w:type="auto"/>
                  <w:tcMar>
                    <w:top w:w="101" w:type="dxa"/>
                    <w:left w:w="101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7504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04"/>
                  </w:tblGrid>
                  <w:tr w:rsidR="002D0B73" w:rsidRPr="002D0B73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7504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810"/>
                          <w:gridCol w:w="694"/>
                        </w:tblGrid>
                        <w:tr w:rsidR="002D0B73" w:rsidRPr="002D0B73">
                          <w:trPr>
                            <w:gridAfter w:val="1"/>
                            <w:wAfter w:w="48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D0B73" w:rsidRPr="002D0B73" w:rsidRDefault="002D0B73" w:rsidP="002D0B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2D0B73" w:rsidRPr="002D0B73">
                          <w:tc>
                            <w:tcPr>
                              <w:tcW w:w="0" w:type="auto"/>
                              <w:gridSpan w:val="2"/>
                              <w:tcMar>
                                <w:top w:w="101" w:type="dxa"/>
                                <w:left w:w="0" w:type="dxa"/>
                                <w:bottom w:w="51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0B73" w:rsidRPr="002D0B73" w:rsidRDefault="002D0B73" w:rsidP="002D0B7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2D0B7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"ASSTEX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Klaster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tekstilaca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"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Novog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Pazara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otvara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predstavništvo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u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skandinavskim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sz w:val="18"/>
                                  <w:szCs w:val="18"/>
                                </w:rPr>
                                <w:t>zemljama</w:t>
                              </w:r>
                              <w:proofErr w:type="spellEnd"/>
                            </w:p>
                          </w:tc>
                        </w:tr>
                        <w:tr w:rsidR="002D0B73" w:rsidRPr="002D0B73">
                          <w:tc>
                            <w:tcPr>
                              <w:tcW w:w="7504" w:type="dxa"/>
                              <w:tcMar>
                                <w:top w:w="101" w:type="dxa"/>
                                <w:left w:w="0" w:type="dxa"/>
                                <w:bottom w:w="101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D0B73" w:rsidRPr="002D0B73" w:rsidRDefault="002D0B73" w:rsidP="002D0B73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7B7B7B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color w:val="7B7B7B"/>
                                  <w:sz w:val="16"/>
                                  <w:szCs w:val="16"/>
                                </w:rPr>
                                <w:t>Ponedeljak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color w:val="7B7B7B"/>
                                  <w:sz w:val="16"/>
                                  <w:szCs w:val="16"/>
                                </w:rPr>
                                <w:t>, 09. 03. 2015.|11:22 |</w:t>
                              </w:r>
                              <w:r w:rsidRPr="002D0B73">
                                <w:rPr>
                                  <w:rFonts w:ascii="Calibri" w:eastAsia="Times New Roman" w:hAnsi="Calibri" w:cs="Times New Roman"/>
                                  <w:color w:val="7B7B7B"/>
                                  <w:sz w:val="16"/>
                                </w:rPr>
                                <w:t> 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7B7B7B"/>
                                  <w:sz w:val="16"/>
                                  <w:szCs w:val="16"/>
                                </w:rPr>
                                <w:t>Izvor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color w:val="7B7B7B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color w:val="7B7B7B"/>
                                  <w:sz w:val="16"/>
                                  <w:szCs w:val="16"/>
                                </w:rPr>
                                <w:t>eKapija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D0B73" w:rsidRPr="002D0B73" w:rsidRDefault="002D0B73" w:rsidP="002D0B7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D0B7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  <w:hyperlink r:id="rId4" w:history="1">
                                <w:r w:rsidRPr="002D0B73">
                                  <w:rPr>
                                    <w:rFonts w:ascii="Times New Roman" w:eastAsia="Times New Roman" w:hAnsi="Times New Roman" w:cs="Times New Roman"/>
                                    <w:color w:val="036AB5"/>
                                    <w:sz w:val="24"/>
                                    <w:szCs w:val="24"/>
                                    <w:u w:val="single"/>
                                  </w:rPr>
                                  <w:t>en</w:t>
                                </w:r>
                              </w:hyperlink>
                              <w:r w:rsidRPr="002D0B7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 </w:t>
                              </w:r>
                              <w:hyperlink r:id="rId5" w:history="1">
                                <w:r w:rsidRPr="002D0B73">
                                  <w:rPr>
                                    <w:rFonts w:ascii="Times New Roman" w:eastAsia="Times New Roman" w:hAnsi="Times New Roman" w:cs="Times New Roman"/>
                                    <w:color w:val="036AB5"/>
                                    <w:sz w:val="24"/>
                                    <w:szCs w:val="24"/>
                                    <w:u w:val="single"/>
                                  </w:rPr>
                                  <w:t>de</w:t>
                                </w:r>
                              </w:hyperlink>
                              <w:r w:rsidRPr="002D0B7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  <w:tr w:rsidR="002D0B73" w:rsidRPr="002D0B73">
                          <w:tc>
                            <w:tcPr>
                              <w:tcW w:w="7403" w:type="dxa"/>
                              <w:gridSpan w:val="2"/>
                              <w:tcMar>
                                <w:top w:w="101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533"/>
                              </w:tblGrid>
                              <w:tr w:rsidR="002D0B73" w:rsidRPr="002D0B73" w:rsidTr="002D0B73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D0B73" w:rsidRPr="002D0B73" w:rsidRDefault="002D0B73" w:rsidP="002D0B73">
                                    <w:pPr>
                                      <w:spacing w:after="3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2859405" cy="2144395"/>
                                          <wp:effectExtent l="19050" t="0" r="0" b="0"/>
                                          <wp:docPr id="1" name="Picture 1" descr="http://www.ekapija.com/dokumenti/tekstilci_asstex1_090315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://www.ekapija.com/dokumenti/tekstilci_asstex1_090315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9405" cy="21443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2D0B73" w:rsidRPr="002D0B73" w:rsidRDefault="002D0B73" w:rsidP="002D0B73">
                              <w:pPr>
                                <w:spacing w:after="0" w:line="240" w:lineRule="auto"/>
                                <w:jc w:val="both"/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</w:pPr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"ASSTEX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Klaster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tekstilaca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"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namerava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da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otvori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predstavništvo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u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skandinavskim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zemljama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Projekat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koji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sprovode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sa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EU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Progresom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, se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odnosi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na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marketing,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analizu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istraživanje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tržišta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, a u "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Klasteru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"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veruju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da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bi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predstavništvo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u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Švedskoj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Norveškoj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ili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Danskoj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mogli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da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otvore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do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sledeće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godine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Asocijacija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proizvođača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džinsa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osnovana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je 2008. </w:t>
                              </w:r>
                              <w:proofErr w:type="spellStart"/>
                              <w:proofErr w:type="gram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godine</w:t>
                              </w:r>
                              <w:proofErr w:type="spellEnd"/>
                              <w:proofErr w:type="gram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sa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135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firmi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, a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godinu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dana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kasnije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prerasla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je u "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Klaster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ASSTEX".</w:t>
                              </w:r>
                            </w:p>
                            <w:p w:rsidR="002D0B73" w:rsidRPr="002D0B73" w:rsidRDefault="002D0B73" w:rsidP="002D0B73">
                              <w:pPr>
                                <w:spacing w:after="240" w:line="240" w:lineRule="auto"/>
                                <w:jc w:val="both"/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Tekstilci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iz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Novog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Pazara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grada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koji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više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od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30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godina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živi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od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džinsa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radili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su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samostalno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dok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su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mogli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Najjače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kompanije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su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shvatile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da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je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potrebno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da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se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udruže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kako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bi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opstale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njihovim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udruživanjem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nastao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je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prvi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klaster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u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državi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</w:rPr>
                                <w:t> </w:t>
                              </w:r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br/>
                                <w:t>U "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Klaster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" se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udružilo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10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najjačih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kompanija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iz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Novog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Pazara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koje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zapošljavaju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oko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2000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radnika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</w:rPr>
                                <w:t> </w:t>
                              </w:r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Formiranje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"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Klastera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"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značilo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je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zajednički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nastup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na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međunarodnim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sajmovima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koji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je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rezultirao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otvaranjem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predstavništva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u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Poljskoj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Moskvi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tbl>
                              <w:tblPr>
                                <w:tblW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4533"/>
                              </w:tblGrid>
                              <w:tr w:rsidR="002D0B73" w:rsidRPr="002D0B73" w:rsidTr="002D0B73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D0B73" w:rsidRPr="002D0B73" w:rsidRDefault="002D0B73" w:rsidP="002D0B73">
                                    <w:pPr>
                                      <w:spacing w:after="3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2859405" cy="2144395"/>
                                          <wp:effectExtent l="19050" t="0" r="0" b="0"/>
                                          <wp:docPr id="2" name="Picture 2" descr="http://www.ekapija.com/dokumenti/tekstilci_asstex_090315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://www.ekapija.com/dokumenti/tekstilci_asstex_090315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859405" cy="21443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2D0B73" w:rsidRPr="002D0B73" w:rsidRDefault="002D0B73" w:rsidP="002D0B73">
                              <w:pPr>
                                <w:spacing w:after="0" w:line="240" w:lineRule="auto"/>
                                <w:jc w:val="both"/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Velikim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uspehom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smatraju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što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od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početka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rada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"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Klastera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"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nisu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nikoga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otpustili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br/>
                                <w:t xml:space="preserve">-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Uprkos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krizi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padu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proizvodnje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tekstila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u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zemlji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iako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radimo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sa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smanjenim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kapacitetom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ipak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uspevamo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da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svima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zaposlenima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obezbedimo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platu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-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kaže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za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"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eKapiju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"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Nermin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Balija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menadžer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"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Klastera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tekstilaca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".</w:t>
                              </w:r>
                            </w:p>
                            <w:p w:rsidR="002D0B73" w:rsidRPr="002D0B73" w:rsidRDefault="002D0B73" w:rsidP="002D0B73">
                              <w:pPr>
                                <w:spacing w:after="0" w:line="240" w:lineRule="auto"/>
                                <w:jc w:val="both"/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Balija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kaže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da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su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zahvaljujući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velikom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iskustvu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firmi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koje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čine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"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Klaster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"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uspeli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da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očuvaju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kvalitet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svojih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proizvoda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2D0B73" w:rsidRPr="002D0B73" w:rsidRDefault="002D0B73" w:rsidP="002D0B73">
                              <w:pPr>
                                <w:spacing w:after="0" w:line="240" w:lineRule="auto"/>
                                <w:jc w:val="both"/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</w:pPr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Nije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lako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ima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puno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problema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ali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nekako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uspevamo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da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poslujemo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opstanemo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-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kaže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sagovornik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"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eKapije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".</w:t>
                              </w:r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br/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Priznanje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"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Klasteru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"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stiglo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je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od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Kluba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privrednih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novinara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koji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je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Nerminu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Baliji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uručio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priznanje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za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"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instrText xml:space="preserve"> HYPERLINK "http://www.ekapija.com/website/sr/page/1079395/Nagrada-urednici-eKapije-Mariji-Kambi%C4%87-KPN-dodelio-priznanja-Poslovni-%C4%8Dovek-godine" </w:instrText>
                              </w:r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2D0B73">
                                <w:rPr>
                                  <w:rFonts w:ascii="Calibri" w:eastAsia="Times New Roman" w:hAnsi="Calibri" w:cs="Times New Roman"/>
                                  <w:color w:val="036AB5"/>
                                  <w:sz w:val="16"/>
                                </w:rPr>
                                <w:t>Menadžera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color w:val="036AB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color w:val="036AB5"/>
                                  <w:sz w:val="16"/>
                                </w:rPr>
                                <w:t>godine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"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za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udruživanje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i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rezultate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 xml:space="preserve"> "</w:t>
                              </w:r>
                              <w:proofErr w:type="spellStart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Klastera</w:t>
                              </w:r>
                              <w:proofErr w:type="spellEnd"/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  <w:szCs w:val="16"/>
                                </w:rPr>
                                <w:t>".</w:t>
                              </w:r>
                              <w:r w:rsidRPr="002D0B73">
                                <w:rPr>
                                  <w:rFonts w:ascii="Calibri" w:eastAsia="Times New Roman" w:hAnsi="Calibri" w:cs="Times New Roman"/>
                                  <w:sz w:val="1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2D0B73" w:rsidRPr="002D0B73" w:rsidRDefault="002D0B73" w:rsidP="002D0B7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0B73" w:rsidRPr="002D0B73" w:rsidRDefault="002D0B73" w:rsidP="002D0B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D0B73" w:rsidRPr="002D0B73" w:rsidRDefault="002D0B73" w:rsidP="002D0B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</w:tr>
    </w:tbl>
    <w:p w:rsidR="00B77875" w:rsidRDefault="002D0B73"/>
    <w:sectPr w:rsidR="00B77875" w:rsidSect="000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2D0B73"/>
    <w:rsid w:val="000B5FC0"/>
    <w:rsid w:val="001C75D6"/>
    <w:rsid w:val="002D0B73"/>
    <w:rsid w:val="00397FDC"/>
    <w:rsid w:val="008B1CBE"/>
    <w:rsid w:val="00F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0B73"/>
  </w:style>
  <w:style w:type="character" w:styleId="Hyperlink">
    <w:name w:val="Hyperlink"/>
    <w:basedOn w:val="DefaultParagraphFont"/>
    <w:uiPriority w:val="99"/>
    <w:semiHidden/>
    <w:unhideWhenUsed/>
    <w:rsid w:val="002D0B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ekapija.com/website/de/page/1089234/ASSTEX-Textilien-Cluster-Novi-Pazar-er%C3%B6ffnet-Niederlassung-in-skandinavischen-L%C3%A4ndern" TargetMode="External"/><Relationship Id="rId4" Type="http://schemas.openxmlformats.org/officeDocument/2006/relationships/hyperlink" Target="http://www.ekapija.com/website/en/page/1089234/ASSTEX-Klaster-tekstilaca-from-Novi-Pazar-opens-branch-office-in-Scandinavian-countri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>SANI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2015-03-11T12:39:00Z</dcterms:created>
  <dcterms:modified xsi:type="dcterms:W3CDTF">2015-03-11T12:39:00Z</dcterms:modified>
</cp:coreProperties>
</file>